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C50FC" w14:textId="0C8FD25E" w:rsidR="002A6B9E" w:rsidRPr="003A0FE2" w:rsidRDefault="00306F5E">
      <w:pPr>
        <w:rPr>
          <w:b/>
          <w:bCs/>
        </w:rPr>
      </w:pPr>
      <w:r w:rsidRPr="003A0FE2">
        <w:rPr>
          <w:b/>
          <w:bCs/>
        </w:rPr>
        <w:t xml:space="preserve">Bike Winnipeg </w:t>
      </w:r>
    </w:p>
    <w:p w14:paraId="048627DC" w14:textId="6B52A7C6" w:rsidR="00306F5E" w:rsidRPr="003A0FE2" w:rsidRDefault="00306F5E">
      <w:pPr>
        <w:rPr>
          <w:b/>
          <w:bCs/>
        </w:rPr>
      </w:pPr>
      <w:r w:rsidRPr="003A0FE2">
        <w:rPr>
          <w:b/>
          <w:bCs/>
        </w:rPr>
        <w:t>Measurement, Audit and Compliance (MAC) Committee</w:t>
      </w:r>
    </w:p>
    <w:p w14:paraId="2FA1183D" w14:textId="6748F42E" w:rsidR="00306F5E" w:rsidRPr="003A0FE2" w:rsidRDefault="00306F5E">
      <w:pPr>
        <w:rPr>
          <w:b/>
          <w:bCs/>
        </w:rPr>
      </w:pPr>
      <w:r w:rsidRPr="003A0FE2">
        <w:rPr>
          <w:b/>
          <w:bCs/>
        </w:rPr>
        <w:t xml:space="preserve">2021 Financial Statement </w:t>
      </w:r>
      <w:r w:rsidR="00525E84" w:rsidRPr="003A0FE2">
        <w:rPr>
          <w:b/>
          <w:bCs/>
        </w:rPr>
        <w:t>Analysis</w:t>
      </w:r>
    </w:p>
    <w:p w14:paraId="0FA74C6F" w14:textId="202BF553" w:rsidR="00306F5E" w:rsidRDefault="00306F5E"/>
    <w:p w14:paraId="516F3111" w14:textId="0AFB4EC9" w:rsidR="00306F5E" w:rsidRDefault="00306F5E">
      <w:r w:rsidRPr="00525E84">
        <w:rPr>
          <w:b/>
          <w:bCs/>
        </w:rPr>
        <w:t>Purpose:</w:t>
      </w:r>
      <w:r>
        <w:t xml:space="preserve"> To document the procedures performed by the MAC committee and the conclusions </w:t>
      </w:r>
      <w:r w:rsidR="007805BE">
        <w:t xml:space="preserve">noted in </w:t>
      </w:r>
      <w:proofErr w:type="gramStart"/>
      <w:r w:rsidR="007805BE">
        <w:t>a</w:t>
      </w:r>
      <w:proofErr w:type="gramEnd"/>
      <w:r w:rsidR="007805BE">
        <w:t xml:space="preserve"> </w:t>
      </w:r>
      <w:r w:rsidR="00525E84">
        <w:t>analysis</w:t>
      </w:r>
      <w:r w:rsidR="007805BE">
        <w:t xml:space="preserve"> of Bike Winnipeg’s 2021 balance sheet and income statement.</w:t>
      </w:r>
    </w:p>
    <w:p w14:paraId="6DD4373E" w14:textId="05725992" w:rsidR="007805BE" w:rsidRDefault="007805BE">
      <w:r w:rsidRPr="00525E84">
        <w:rPr>
          <w:b/>
          <w:bCs/>
        </w:rPr>
        <w:t>Disclaimer:</w:t>
      </w:r>
      <w:r>
        <w:t xml:space="preserve"> The </w:t>
      </w:r>
      <w:r w:rsidR="00525E84">
        <w:t>analysis</w:t>
      </w:r>
      <w:r>
        <w:t xml:space="preserve"> performed by the MAC Committee does not constitute a review of historical financial information in accordance with CSRS 2400 nor does it a constitute an audit of financial statements in accordance with the Canadian Auditing Standards. </w:t>
      </w:r>
      <w:r w:rsidR="00AC6854">
        <w:t xml:space="preserve">The </w:t>
      </w:r>
      <w:r w:rsidR="00525E84">
        <w:t>analysis</w:t>
      </w:r>
      <w:r w:rsidR="00AC6854">
        <w:t xml:space="preserve"> performed by the MAC Committee consisted primarily of analytical procedures and inquiries. </w:t>
      </w:r>
      <w:r w:rsidR="007522F7">
        <w:t xml:space="preserve">Inquiries were made of Misty Bromley, Bike Winnipeg Treasurer. </w:t>
      </w:r>
    </w:p>
    <w:p w14:paraId="15224321" w14:textId="4864570D" w:rsidR="00AC6854" w:rsidRPr="00525E84" w:rsidRDefault="00E478FB">
      <w:pPr>
        <w:rPr>
          <w:b/>
          <w:bCs/>
        </w:rPr>
      </w:pPr>
      <w:r w:rsidRPr="00525E84">
        <w:rPr>
          <w:b/>
          <w:bCs/>
        </w:rPr>
        <w:t>Procedures performed:</w:t>
      </w:r>
    </w:p>
    <w:p w14:paraId="4C6C56C7" w14:textId="22E3F5C6" w:rsidR="00E478FB" w:rsidRDefault="001B0957" w:rsidP="00E478FB">
      <w:pPr>
        <w:pStyle w:val="ListParagraph"/>
        <w:numPr>
          <w:ilvl w:val="0"/>
          <w:numId w:val="1"/>
        </w:numPr>
      </w:pPr>
      <w:r>
        <w:t>We determined</w:t>
      </w:r>
      <w:r w:rsidR="00E478FB">
        <w:t xml:space="preserve"> materiality for the </w:t>
      </w:r>
      <w:r w:rsidR="00525E84">
        <w:t>analysis</w:t>
      </w:r>
      <w:r w:rsidR="00E478FB">
        <w:t xml:space="preserve"> using </w:t>
      </w:r>
      <w:r w:rsidR="00AB5175">
        <w:t>a</w:t>
      </w:r>
      <w:r w:rsidR="0087270F">
        <w:t xml:space="preserve"> range </w:t>
      </w:r>
      <w:r w:rsidR="00AB5175">
        <w:t>of financial statement benchmarks selected and applied a percentage a</w:t>
      </w:r>
      <w:r w:rsidR="0087270F">
        <w:t xml:space="preserve">gainst the benchmark and calculated an average from these figures to arrive at a materiality amount. </w:t>
      </w:r>
      <w:r w:rsidR="00952A8F">
        <w:t xml:space="preserve">This amount would represent the level of sensitivity a financial statement </w:t>
      </w:r>
      <w:r w:rsidR="00520695">
        <w:t xml:space="preserve">user </w:t>
      </w:r>
      <w:r w:rsidR="00952A8F">
        <w:t>would have</w:t>
      </w:r>
      <w:r w:rsidR="00520695">
        <w:t>.</w:t>
      </w:r>
    </w:p>
    <w:p w14:paraId="61FC90F8" w14:textId="63991629" w:rsidR="001B0957" w:rsidRDefault="00520695" w:rsidP="001B0957">
      <w:pPr>
        <w:pStyle w:val="ListParagraph"/>
        <w:numPr>
          <w:ilvl w:val="1"/>
          <w:numId w:val="1"/>
        </w:numPr>
      </w:pPr>
      <w:r w:rsidRPr="00520695">
        <w:t xml:space="preserve">Misstatements, including omissions, </w:t>
      </w:r>
      <w:proofErr w:type="gramStart"/>
      <w:r w:rsidRPr="00520695">
        <w:t>are considered to be</w:t>
      </w:r>
      <w:proofErr w:type="gramEnd"/>
      <w:r w:rsidRPr="00520695">
        <w:t xml:space="preserve"> material if they, individually or in the aggregate, could reasonably be expected to influence the economic decisions of users taken on the basis of the financial statements</w:t>
      </w:r>
    </w:p>
    <w:p w14:paraId="02F3FDA3" w14:textId="299F8548" w:rsidR="001B0957" w:rsidRDefault="001B0957" w:rsidP="001B0957">
      <w:pPr>
        <w:pStyle w:val="ListParagraph"/>
        <w:numPr>
          <w:ilvl w:val="1"/>
          <w:numId w:val="1"/>
        </w:numPr>
      </w:pPr>
      <w:r>
        <w:t>Materiality was determined to be $3,000</w:t>
      </w:r>
    </w:p>
    <w:p w14:paraId="61604D4B" w14:textId="043C5F79" w:rsidR="001B0957" w:rsidRDefault="001B0957" w:rsidP="001B0957">
      <w:pPr>
        <w:pStyle w:val="ListParagraph"/>
        <w:numPr>
          <w:ilvl w:val="0"/>
          <w:numId w:val="1"/>
        </w:numPr>
      </w:pPr>
      <w:r>
        <w:t xml:space="preserve">We performed a year-over-year balance sheet variance analysis investigating all changes greater than materiality and 10%. </w:t>
      </w:r>
      <w:r w:rsidR="00FA11C7">
        <w:t>We also selected additional balance sheet variances on an ad-hoc basis.</w:t>
      </w:r>
    </w:p>
    <w:p w14:paraId="6518ECEA" w14:textId="2BFB17B1" w:rsidR="00FA11C7" w:rsidRPr="00FA11C7" w:rsidRDefault="00FA11C7" w:rsidP="00FA11C7">
      <w:pPr>
        <w:pStyle w:val="ListParagraph"/>
        <w:numPr>
          <w:ilvl w:val="0"/>
          <w:numId w:val="1"/>
        </w:numPr>
      </w:pPr>
      <w:r w:rsidRPr="00FA11C7">
        <w:t xml:space="preserve">We performed a year-over-year </w:t>
      </w:r>
      <w:r>
        <w:t>income statement</w:t>
      </w:r>
      <w:r w:rsidRPr="00FA11C7">
        <w:t xml:space="preserve"> variance analysis investigating all changes greater than materiality and 10%. We also selected additional balance sheet variances on an ad-hoc basis.</w:t>
      </w:r>
    </w:p>
    <w:p w14:paraId="1B275DD5" w14:textId="309C5E06" w:rsidR="00FA11C7" w:rsidRDefault="00D905F8" w:rsidP="001B0957">
      <w:pPr>
        <w:pStyle w:val="ListParagraph"/>
        <w:numPr>
          <w:ilvl w:val="0"/>
          <w:numId w:val="1"/>
        </w:numPr>
      </w:pPr>
      <w:r>
        <w:t>We performed ratio</w:t>
      </w:r>
      <w:r w:rsidR="00220EAB">
        <w:t xml:space="preserve"> </w:t>
      </w:r>
      <w:r>
        <w:t xml:space="preserve">analysis </w:t>
      </w:r>
      <w:r w:rsidR="0090149E">
        <w:t>using more commonly used financial statement ratios in the not-for-profit industry</w:t>
      </w:r>
      <w:r w:rsidR="007522F7">
        <w:t>.</w:t>
      </w:r>
    </w:p>
    <w:p w14:paraId="6BCB644A" w14:textId="1632A97A" w:rsidR="007522F7" w:rsidRDefault="007522F7" w:rsidP="001B0957">
      <w:pPr>
        <w:pStyle w:val="ListParagraph"/>
        <w:numPr>
          <w:ilvl w:val="0"/>
          <w:numId w:val="1"/>
        </w:numPr>
      </w:pPr>
      <w:r>
        <w:t xml:space="preserve">We used </w:t>
      </w:r>
      <w:proofErr w:type="spellStart"/>
      <w:r>
        <w:t>Quickbooks</w:t>
      </w:r>
      <w:proofErr w:type="spellEnd"/>
      <w:r>
        <w:t xml:space="preserve"> Accountant to review journal entries to corroborate explanations provided by the Treasurer. </w:t>
      </w:r>
    </w:p>
    <w:p w14:paraId="647C85B0" w14:textId="3F34FC53" w:rsidR="0090149E" w:rsidRDefault="0090149E" w:rsidP="009014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0149E" w14:paraId="21993CA9" w14:textId="77777777" w:rsidTr="0090149E">
        <w:tc>
          <w:tcPr>
            <w:tcW w:w="2337" w:type="dxa"/>
          </w:tcPr>
          <w:p w14:paraId="46653211" w14:textId="697A2A95" w:rsidR="0090149E" w:rsidRPr="00525E84" w:rsidRDefault="0090149E" w:rsidP="0090149E">
            <w:pPr>
              <w:rPr>
                <w:b/>
                <w:bCs/>
              </w:rPr>
            </w:pPr>
            <w:r w:rsidRPr="00525E84">
              <w:rPr>
                <w:b/>
                <w:bCs/>
              </w:rPr>
              <w:t xml:space="preserve">As </w:t>
            </w:r>
            <w:proofErr w:type="gramStart"/>
            <w:r w:rsidRPr="00525E84">
              <w:rPr>
                <w:b/>
                <w:bCs/>
              </w:rPr>
              <w:t>at</w:t>
            </w:r>
            <w:proofErr w:type="gramEnd"/>
            <w:r w:rsidRPr="00525E84">
              <w:rPr>
                <w:b/>
                <w:bCs/>
              </w:rPr>
              <w:t xml:space="preserve"> December 31</w:t>
            </w:r>
          </w:p>
        </w:tc>
        <w:tc>
          <w:tcPr>
            <w:tcW w:w="2337" w:type="dxa"/>
          </w:tcPr>
          <w:p w14:paraId="333E848D" w14:textId="482418E2" w:rsidR="0090149E" w:rsidRPr="00525E84" w:rsidRDefault="0090149E" w:rsidP="0090149E">
            <w:pPr>
              <w:rPr>
                <w:b/>
                <w:bCs/>
              </w:rPr>
            </w:pPr>
            <w:r w:rsidRPr="00525E84">
              <w:rPr>
                <w:b/>
                <w:bCs/>
              </w:rPr>
              <w:t>2021</w:t>
            </w:r>
          </w:p>
        </w:tc>
        <w:tc>
          <w:tcPr>
            <w:tcW w:w="2338" w:type="dxa"/>
          </w:tcPr>
          <w:p w14:paraId="006FEEEB" w14:textId="7DD49072" w:rsidR="0090149E" w:rsidRPr="00525E84" w:rsidRDefault="0090149E" w:rsidP="0090149E">
            <w:pPr>
              <w:rPr>
                <w:b/>
                <w:bCs/>
              </w:rPr>
            </w:pPr>
            <w:r w:rsidRPr="00525E84">
              <w:rPr>
                <w:b/>
                <w:bCs/>
              </w:rPr>
              <w:t>2020</w:t>
            </w:r>
          </w:p>
        </w:tc>
        <w:tc>
          <w:tcPr>
            <w:tcW w:w="2338" w:type="dxa"/>
          </w:tcPr>
          <w:p w14:paraId="612D4ABE" w14:textId="48B014E1" w:rsidR="0090149E" w:rsidRPr="00525E84" w:rsidRDefault="0090149E" w:rsidP="0090149E">
            <w:pPr>
              <w:rPr>
                <w:b/>
                <w:bCs/>
              </w:rPr>
            </w:pPr>
            <w:r w:rsidRPr="00525E84">
              <w:rPr>
                <w:b/>
                <w:bCs/>
              </w:rPr>
              <w:t>Change</w:t>
            </w:r>
          </w:p>
        </w:tc>
      </w:tr>
      <w:tr w:rsidR="0090149E" w14:paraId="65E61754" w14:textId="77777777" w:rsidTr="0090149E">
        <w:tc>
          <w:tcPr>
            <w:tcW w:w="2337" w:type="dxa"/>
          </w:tcPr>
          <w:p w14:paraId="0EB8D1F9" w14:textId="46AD725F" w:rsidR="0090149E" w:rsidRPr="00525E84" w:rsidRDefault="0090149E" w:rsidP="0090149E">
            <w:pPr>
              <w:rPr>
                <w:b/>
                <w:bCs/>
              </w:rPr>
            </w:pPr>
            <w:r w:rsidRPr="00525E84">
              <w:rPr>
                <w:b/>
                <w:bCs/>
              </w:rPr>
              <w:t>Current Ratio</w:t>
            </w:r>
          </w:p>
        </w:tc>
        <w:tc>
          <w:tcPr>
            <w:tcW w:w="2337" w:type="dxa"/>
          </w:tcPr>
          <w:p w14:paraId="635C083C" w14:textId="7A5A7EC1" w:rsidR="0090149E" w:rsidRDefault="0090149E" w:rsidP="0090149E">
            <w:r>
              <w:t>2.65</w:t>
            </w:r>
          </w:p>
        </w:tc>
        <w:tc>
          <w:tcPr>
            <w:tcW w:w="2338" w:type="dxa"/>
          </w:tcPr>
          <w:p w14:paraId="5CB4CA46" w14:textId="077115F8" w:rsidR="0090149E" w:rsidRDefault="0090149E" w:rsidP="0090149E">
            <w:r>
              <w:t>0.96</w:t>
            </w:r>
          </w:p>
        </w:tc>
        <w:tc>
          <w:tcPr>
            <w:tcW w:w="2338" w:type="dxa"/>
          </w:tcPr>
          <w:p w14:paraId="1EC0CF86" w14:textId="31D33125" w:rsidR="0090149E" w:rsidRDefault="0090149E" w:rsidP="0090149E">
            <w:r>
              <w:t>1.69 (176%)</w:t>
            </w:r>
          </w:p>
        </w:tc>
      </w:tr>
      <w:tr w:rsidR="0090149E" w14:paraId="4B191DDB" w14:textId="77777777" w:rsidTr="0090149E">
        <w:tc>
          <w:tcPr>
            <w:tcW w:w="2337" w:type="dxa"/>
          </w:tcPr>
          <w:p w14:paraId="4719CE94" w14:textId="79618C8E" w:rsidR="0090149E" w:rsidRPr="00525E84" w:rsidRDefault="0090149E" w:rsidP="0090149E">
            <w:pPr>
              <w:rPr>
                <w:b/>
                <w:bCs/>
              </w:rPr>
            </w:pPr>
            <w:r w:rsidRPr="00525E84">
              <w:rPr>
                <w:b/>
                <w:bCs/>
              </w:rPr>
              <w:t>Days Cash on Hand</w:t>
            </w:r>
          </w:p>
        </w:tc>
        <w:tc>
          <w:tcPr>
            <w:tcW w:w="2337" w:type="dxa"/>
          </w:tcPr>
          <w:p w14:paraId="4416CE2B" w14:textId="5102463D" w:rsidR="0090149E" w:rsidRDefault="0090149E" w:rsidP="0090149E">
            <w:r>
              <w:t>36</w:t>
            </w:r>
          </w:p>
        </w:tc>
        <w:tc>
          <w:tcPr>
            <w:tcW w:w="2338" w:type="dxa"/>
          </w:tcPr>
          <w:p w14:paraId="39F02F9F" w14:textId="33B08F82" w:rsidR="0090149E" w:rsidRDefault="0090149E" w:rsidP="0090149E">
            <w:r>
              <w:t>64</w:t>
            </w:r>
          </w:p>
        </w:tc>
        <w:tc>
          <w:tcPr>
            <w:tcW w:w="2338" w:type="dxa"/>
          </w:tcPr>
          <w:p w14:paraId="4E5FC519" w14:textId="322D2758" w:rsidR="0090149E" w:rsidRDefault="0090149E" w:rsidP="0090149E">
            <w:r>
              <w:t>-28 (</w:t>
            </w:r>
            <w:r w:rsidR="00525E84">
              <w:t>-43%)</w:t>
            </w:r>
          </w:p>
        </w:tc>
      </w:tr>
    </w:tbl>
    <w:p w14:paraId="6EC0E533" w14:textId="77777777" w:rsidR="0090149E" w:rsidRDefault="0090149E" w:rsidP="0090149E"/>
    <w:p w14:paraId="1C13376F" w14:textId="7895B893" w:rsidR="00AC6854" w:rsidRDefault="00525E84">
      <w:r w:rsidRPr="00525E84">
        <w:rPr>
          <w:b/>
          <w:bCs/>
        </w:rPr>
        <w:t>Findings:</w:t>
      </w:r>
      <w:r>
        <w:t xml:space="preserve"> Nothing came to our attention as part of the analysis that determined the balance sheet and income statement to contain material misstatements or omissions. </w:t>
      </w:r>
      <w:r w:rsidR="003E2532">
        <w:t xml:space="preserve">Refer to observations for additional information. </w:t>
      </w:r>
    </w:p>
    <w:p w14:paraId="6C02B590" w14:textId="77777777" w:rsidR="003E2532" w:rsidRDefault="003E2532"/>
    <w:p w14:paraId="6C7B9366" w14:textId="77777777" w:rsidR="003E2532" w:rsidRDefault="003E2532"/>
    <w:p w14:paraId="37D87E51" w14:textId="77777777" w:rsidR="003E2532" w:rsidRDefault="003E2532"/>
    <w:p w14:paraId="6D5B643D" w14:textId="4BD32D3B" w:rsidR="00525E84" w:rsidRDefault="00525E84">
      <w:r w:rsidRPr="003E2532">
        <w:rPr>
          <w:b/>
          <w:bCs/>
        </w:rPr>
        <w:t>Observations</w:t>
      </w:r>
      <w:r w:rsidR="003E2532">
        <w:rPr>
          <w:b/>
          <w:bCs/>
        </w:rPr>
        <w:t xml:space="preserve"> &amp; Adjustments</w:t>
      </w:r>
      <w:r>
        <w:t>:</w:t>
      </w:r>
    </w:p>
    <w:p w14:paraId="6780F202" w14:textId="48C555F1" w:rsidR="00525E84" w:rsidRDefault="0041382E" w:rsidP="00525E84">
      <w:pPr>
        <w:pStyle w:val="ListParagraph"/>
        <w:numPr>
          <w:ilvl w:val="0"/>
          <w:numId w:val="2"/>
        </w:numPr>
      </w:pPr>
      <w:r>
        <w:t xml:space="preserve">Bike Valet Equipment Contingency – based on inquiry, it was determined </w:t>
      </w:r>
      <w:r w:rsidR="00E92418">
        <w:t xml:space="preserve">that the real value of the liability isn’t entirely </w:t>
      </w:r>
      <w:proofErr w:type="gramStart"/>
      <w:r w:rsidR="00E92418">
        <w:t>known</w:t>
      </w:r>
      <w:proofErr w:type="gramEnd"/>
      <w:r w:rsidR="00E92418">
        <w:t xml:space="preserve"> and likely portions of this contingency have been </w:t>
      </w:r>
      <w:r w:rsidR="003E2532">
        <w:t>used in the capital expenditures relating to the bike valet. Finance committee to resolve (any unused contingency to be reclassed to equity)</w:t>
      </w:r>
    </w:p>
    <w:p w14:paraId="557ECA3A" w14:textId="28BE0093" w:rsidR="00AB086F" w:rsidRDefault="00AB086F" w:rsidP="00525E84">
      <w:pPr>
        <w:pStyle w:val="ListParagraph"/>
        <w:numPr>
          <w:ilvl w:val="0"/>
          <w:numId w:val="2"/>
        </w:numPr>
      </w:pPr>
      <w:r>
        <w:t xml:space="preserve">Operating Expense Reserve – This $8.3K liability relates to the Manitoba Bridge Grant of $20K which was received during the year. This grant was a </w:t>
      </w:r>
      <w:r w:rsidR="00061DF8">
        <w:t>provincial</w:t>
      </w:r>
      <w:r>
        <w:t xml:space="preserve"> government grant to provide relief for </w:t>
      </w:r>
      <w:r w:rsidR="00061DF8">
        <w:t xml:space="preserve">organizations impacted by the COVID-19 pandemic. There appears to be uncertainty over whether </w:t>
      </w:r>
      <w:r w:rsidR="00134681">
        <w:t xml:space="preserve">Bike Winnipeg was eligible for the grant and whether they would have to repay the grant. Based on our review of the Manitoba Bridge Grant requirements, it appears that </w:t>
      </w:r>
      <w:r w:rsidR="002D70AA">
        <w:t xml:space="preserve">we likely met the eligible criteria. $11.6K has been recognized into income in 2021, and the remainder will be kept as a provision in case the grant is audited by the </w:t>
      </w:r>
      <w:proofErr w:type="gramStart"/>
      <w:r w:rsidR="002D70AA">
        <w:t>Province</w:t>
      </w:r>
      <w:proofErr w:type="gramEnd"/>
      <w:r w:rsidR="00C745E5">
        <w:t xml:space="preserve"> (to be recognized into income in 2022). </w:t>
      </w:r>
    </w:p>
    <w:p w14:paraId="1C28D6AE" w14:textId="4291C3D7" w:rsidR="007522F7" w:rsidRPr="007522F7" w:rsidRDefault="007522F7" w:rsidP="00525E84">
      <w:pPr>
        <w:pStyle w:val="ListParagraph"/>
        <w:numPr>
          <w:ilvl w:val="0"/>
          <w:numId w:val="2"/>
        </w:numPr>
      </w:pPr>
      <w:r w:rsidRPr="007522F7">
        <w:t>OCB Grant Exp – o/s</w:t>
      </w:r>
      <w:r>
        <w:t xml:space="preserve"> inquiry over </w:t>
      </w:r>
      <w:r w:rsidR="003A0FE2">
        <w:t xml:space="preserve">$3,159 prior year transactions </w:t>
      </w:r>
    </w:p>
    <w:p w14:paraId="68079132" w14:textId="77777777" w:rsidR="00AC6854" w:rsidRPr="007522F7" w:rsidRDefault="00AC6854"/>
    <w:sectPr w:rsidR="00AC6854" w:rsidRPr="007522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303C8"/>
    <w:multiLevelType w:val="hybridMultilevel"/>
    <w:tmpl w:val="DDC2043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06C14"/>
    <w:multiLevelType w:val="hybridMultilevel"/>
    <w:tmpl w:val="2B6C53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D8"/>
    <w:rsid w:val="00061DF8"/>
    <w:rsid w:val="00134681"/>
    <w:rsid w:val="001B0957"/>
    <w:rsid w:val="00220EAB"/>
    <w:rsid w:val="002D70AA"/>
    <w:rsid w:val="00306F5E"/>
    <w:rsid w:val="003704BB"/>
    <w:rsid w:val="003A0FE2"/>
    <w:rsid w:val="003E2532"/>
    <w:rsid w:val="0041382E"/>
    <w:rsid w:val="004B2DEF"/>
    <w:rsid w:val="00520695"/>
    <w:rsid w:val="00525E84"/>
    <w:rsid w:val="007522F7"/>
    <w:rsid w:val="007805BE"/>
    <w:rsid w:val="0087270F"/>
    <w:rsid w:val="0090149E"/>
    <w:rsid w:val="00952A8F"/>
    <w:rsid w:val="00AB086F"/>
    <w:rsid w:val="00AB5175"/>
    <w:rsid w:val="00AC6854"/>
    <w:rsid w:val="00C745E5"/>
    <w:rsid w:val="00D905F8"/>
    <w:rsid w:val="00E478FB"/>
    <w:rsid w:val="00E92418"/>
    <w:rsid w:val="00FA11C7"/>
    <w:rsid w:val="00FB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C2653"/>
  <w15:chartTrackingRefBased/>
  <w15:docId w15:val="{F7E902AB-1EB9-4038-BA14-2C08D08B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8FB"/>
    <w:pPr>
      <w:ind w:left="720"/>
      <w:contextualSpacing/>
    </w:pPr>
  </w:style>
  <w:style w:type="table" w:styleId="TableGrid">
    <w:name w:val="Table Grid"/>
    <w:basedOn w:val="TableNormal"/>
    <w:uiPriority w:val="39"/>
    <w:rsid w:val="00901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Dyck</dc:creator>
  <cp:keywords/>
  <dc:description/>
  <cp:lastModifiedBy>Corey Dyck</cp:lastModifiedBy>
  <cp:revision>25</cp:revision>
  <dcterms:created xsi:type="dcterms:W3CDTF">2022-03-09T23:00:00Z</dcterms:created>
  <dcterms:modified xsi:type="dcterms:W3CDTF">2022-03-09T23:25:00Z</dcterms:modified>
</cp:coreProperties>
</file>